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proofErr w:type="gramStart"/>
      <w:r w:rsidRPr="00F13398">
        <w:rPr>
          <w:rFonts w:ascii="標楷體" w:eastAsia="標楷體" w:hAnsi="標楷體" w:hint="eastAsia"/>
          <w:b/>
          <w:sz w:val="28"/>
          <w:szCs w:val="28"/>
        </w:rPr>
        <w:t>學年度精進</w:t>
      </w:r>
      <w:proofErr w:type="gramEnd"/>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bookmarkStart w:id="0" w:name="_GoBack"/>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bookmarkEnd w:id="0"/>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proofErr w:type="gramStart"/>
      <w:r w:rsidRPr="00F13398">
        <w:rPr>
          <w:rFonts w:ascii="Times New Roman" w:eastAsia="標楷體" w:hAnsi="Times New Roman"/>
          <w:szCs w:val="24"/>
        </w:rPr>
        <w:t>學年度精進</w:t>
      </w:r>
      <w:proofErr w:type="gramEnd"/>
      <w:r w:rsidRPr="00F13398">
        <w:rPr>
          <w:rFonts w:ascii="Times New Roman" w:eastAsia="標楷體" w:hAnsi="Times New Roman"/>
          <w:szCs w:val="24"/>
        </w:rPr>
        <w:t>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proofErr w:type="gramStart"/>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proofErr w:type="gramEnd"/>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proofErr w:type="gramStart"/>
            <w:r w:rsidRPr="00101AF9">
              <w:rPr>
                <w:rFonts w:ascii="Times New Roman" w:eastAsia="標楷體" w:hAnsi="Times New Roman" w:hint="eastAsia"/>
                <w:szCs w:val="24"/>
              </w:rPr>
              <w:t>臺</w:t>
            </w:r>
            <w:proofErr w:type="gramEnd"/>
            <w:r w:rsidRPr="00101AF9">
              <w:rPr>
                <w:rFonts w:ascii="Times New Roman" w:eastAsia="標楷體" w:hAnsi="Times New Roman" w:hint="eastAsia"/>
                <w:szCs w:val="24"/>
              </w:rPr>
              <w:t>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proofErr w:type="gramStart"/>
            <w:r>
              <w:rPr>
                <w:rFonts w:ascii="Times New Roman" w:eastAsia="標楷體" w:hAnsi="Times New Roman" w:hint="eastAsia"/>
                <w:szCs w:val="24"/>
              </w:rPr>
              <w:t>網路識讀</w:t>
            </w:r>
            <w:proofErr w:type="gramEnd"/>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D110" w14:textId="77777777" w:rsidR="00CE19FF" w:rsidRDefault="00CE19FF" w:rsidP="001D593D">
      <w:r>
        <w:separator/>
      </w:r>
    </w:p>
  </w:endnote>
  <w:endnote w:type="continuationSeparator" w:id="0">
    <w:p w14:paraId="358ADA8C" w14:textId="77777777" w:rsidR="00CE19FF" w:rsidRDefault="00CE19FF"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63340" w14:textId="77777777" w:rsidR="00CE19FF" w:rsidRDefault="00CE19FF" w:rsidP="001D593D">
      <w:r>
        <w:separator/>
      </w:r>
    </w:p>
  </w:footnote>
  <w:footnote w:type="continuationSeparator" w:id="0">
    <w:p w14:paraId="6377802E" w14:textId="77777777" w:rsidR="00CE19FF" w:rsidRDefault="00CE19FF"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001F9"/>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6FD2-ABDD-42A2-BE7A-FFF26E1F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4</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2021-04-01T02:46:00Z</cp:lastPrinted>
  <dcterms:created xsi:type="dcterms:W3CDTF">2023-03-13T01:15:00Z</dcterms:created>
  <dcterms:modified xsi:type="dcterms:W3CDTF">2023-03-13T01:15:00Z</dcterms:modified>
</cp:coreProperties>
</file>